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Mini-diagnóstico de maturidade em IA</w:t>
      </w:r>
    </w:p>
    <w:p>
      <w:r>
        <w:t>Capítulo 1 | Revisão 3 da editora, p. 120, 121 | Digital v1.0</w:t>
      </w:r>
    </w:p>
    <w:p>
      <w:r>
        <w:t>Diagnóstico de 30 minutos para CIO ou COO com dois ou três líderes de área, baseado em dez perguntas binárias sobre prontidão em dados, tecnologia, processos, pessoas, cultura, governança, estratégia e finanças.</w:t>
      </w:r>
    </w:p>
    <w:p>
      <w:pPr>
        <w:pStyle w:val="Heading1"/>
      </w:pPr>
      <w:r>
        <w:t>Como usar</w:t>
      </w:r>
    </w:p>
    <w:p>
      <w:pPr>
        <w:pStyle w:val="ListBullet"/>
      </w:pPr>
      <w:r>
        <w:t>Responda somente Sim ou Não; respostas qualificadas, como ‘mais ou menos’ ou ‘estamos trabalhando nisso’, contam como Não.</w:t>
      </w:r>
    </w:p>
    <w:p>
      <w:pPr>
        <w:pStyle w:val="ListBullet"/>
      </w:pPr>
      <w:r>
        <w:t>Registre a evidência que sustenta cada resposta e o responsável pela correção quando a resposta for Não.</w:t>
      </w:r>
    </w:p>
    <w:p>
      <w:pPr>
        <w:pStyle w:val="ListBullet"/>
      </w:pPr>
      <w:r>
        <w:t>Compile o diagnóstico com os participantes e faça nova revisão no mínimo trimestralmente.</w:t>
      </w:r>
    </w:p>
    <w:p>
      <w:r>
        <w:t>Duplique os blocos de registro conforme o número de iniciativas, agentes ou decisões. Preserve as instruções e regras.</w:t>
      </w:r>
    </w:p>
    <w:p>
      <w:pPr>
        <w:pStyle w:val="Heading1"/>
      </w:pPr>
      <w:r>
        <w:t>1. Visibilidade do portfólio</w:t>
      </w:r>
    </w:p>
    <w:p>
      <w:pPr>
        <w:keepNext/>
      </w:pPr>
      <w:r>
        <w:t>Existe um inventário atualizado de todas as iniciativas de IA na organização, com dono nomeado, status (piloto, produção, encerrado) e custo acumulado? Se Não: a organização não tem visibilidade do próprio portfólio; qualquer decisão de investimento é aposta cega.</w:t>
      </w:r>
    </w:p>
    <w:p>
      <w:pPr>
        <w:keepNext/>
      </w:pPr>
      <w:r>
        <w:rPr>
          <w:b/>
        </w:rPr>
        <w:t>Resposta</w:t>
      </w:r>
    </w:p>
    <w:p>
      <w:r>
        <w:t>Opções: Sim / Não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638"/>
      </w:tblGrid>
      <w:tr>
        <w:trPr>
          <w:trHeight w:val="482"/>
        </w:trPr>
        <w:tc>
          <w:tcPr>
            <w:tcW w:type="dxa" w:w="9638"/>
          </w:tcPr>
          <w:p>
            <w:r/>
          </w:p>
        </w:tc>
      </w:tr>
    </w:tbl>
    <w:p>
      <w:pPr>
        <w:spacing w:after="0"/>
      </w:pPr>
    </w:p>
    <w:p>
      <w:pPr>
        <w:keepNext/>
      </w:pPr>
      <w:r>
        <w:rPr>
          <w:b/>
        </w:rPr>
        <w:t>Evidência verificável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638"/>
      </w:tblGrid>
      <w:tr>
        <w:trPr>
          <w:trHeight w:val="907"/>
        </w:trPr>
        <w:tc>
          <w:tcPr>
            <w:tcW w:type="dxa" w:w="9638"/>
          </w:tcPr>
          <w:p>
            <w:r/>
          </w:p>
        </w:tc>
      </w:tr>
    </w:tbl>
    <w:p>
      <w:pPr>
        <w:spacing w:after="0"/>
      </w:pPr>
    </w:p>
    <w:p>
      <w:pPr>
        <w:keepNext/>
      </w:pPr>
      <w:r>
        <w:rPr>
          <w:b/>
        </w:rPr>
        <w:t>Responsável pela correção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638"/>
      </w:tblGrid>
      <w:tr>
        <w:trPr>
          <w:trHeight w:val="482"/>
        </w:trPr>
        <w:tc>
          <w:tcPr>
            <w:tcW w:type="dxa" w:w="9638"/>
          </w:tcPr>
          <w:p>
            <w:r/>
          </w:p>
        </w:tc>
      </w:tr>
    </w:tbl>
    <w:p>
      <w:pPr>
        <w:spacing w:after="0"/>
      </w:pPr>
    </w:p>
    <w:p>
      <w:pPr>
        <w:keepNext/>
      </w:pPr>
      <w:r>
        <w:rPr>
          <w:b/>
        </w:rPr>
        <w:t>Critério de encerramento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638"/>
      </w:tblGrid>
      <w:tr>
        <w:trPr>
          <w:trHeight w:val="482"/>
        </w:trPr>
        <w:tc>
          <w:tcPr>
            <w:tcW w:type="dxa" w:w="9638"/>
          </w:tcPr>
          <w:p>
            <w:r/>
          </w:p>
        </w:tc>
      </w:tr>
    </w:tbl>
    <w:p>
      <w:pPr>
        <w:spacing w:after="0"/>
      </w:pPr>
    </w:p>
    <w:p>
      <w:pPr>
        <w:pStyle w:val="Heading1"/>
      </w:pPr>
      <w:r>
        <w:t>2. Hipótese de valor</w:t>
      </w:r>
    </w:p>
    <w:p>
      <w:pPr>
        <w:keepNext/>
      </w:pPr>
      <w:r>
        <w:t>Toda iniciativa de IA ativa tem uma hipótese de valor registrada antes do início, com métrica de sucesso definida e prazo de avaliação? Se Não: pilotos acumulam sem critério de sucesso; o default é continuar, e continuar tem custo.</w:t>
      </w:r>
    </w:p>
    <w:p>
      <w:pPr>
        <w:keepNext/>
      </w:pPr>
      <w:r>
        <w:rPr>
          <w:b/>
        </w:rPr>
        <w:t>Resposta</w:t>
      </w:r>
    </w:p>
    <w:p>
      <w:r>
        <w:t>Opções: Sim / Não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638"/>
      </w:tblGrid>
      <w:tr>
        <w:trPr>
          <w:trHeight w:val="482"/>
        </w:trPr>
        <w:tc>
          <w:tcPr>
            <w:tcW w:type="dxa" w:w="9638"/>
          </w:tcPr>
          <w:p>
            <w:r/>
          </w:p>
        </w:tc>
      </w:tr>
    </w:tbl>
    <w:p>
      <w:pPr>
        <w:spacing w:after="0"/>
      </w:pPr>
    </w:p>
    <w:p>
      <w:pPr>
        <w:keepNext/>
      </w:pPr>
      <w:r>
        <w:rPr>
          <w:b/>
        </w:rPr>
        <w:t>Evidência verificável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638"/>
      </w:tblGrid>
      <w:tr>
        <w:trPr>
          <w:trHeight w:val="907"/>
        </w:trPr>
        <w:tc>
          <w:tcPr>
            <w:tcW w:type="dxa" w:w="9638"/>
          </w:tcPr>
          <w:p>
            <w:r/>
          </w:p>
        </w:tc>
      </w:tr>
    </w:tbl>
    <w:p>
      <w:pPr>
        <w:spacing w:after="0"/>
      </w:pPr>
    </w:p>
    <w:p>
      <w:pPr>
        <w:keepNext/>
      </w:pPr>
      <w:r>
        <w:rPr>
          <w:b/>
        </w:rPr>
        <w:t>Responsável pela correção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638"/>
      </w:tblGrid>
      <w:tr>
        <w:trPr>
          <w:trHeight w:val="482"/>
        </w:trPr>
        <w:tc>
          <w:tcPr>
            <w:tcW w:type="dxa" w:w="9638"/>
          </w:tcPr>
          <w:p>
            <w:r/>
          </w:p>
        </w:tc>
      </w:tr>
    </w:tbl>
    <w:p>
      <w:pPr>
        <w:spacing w:after="0"/>
      </w:pPr>
    </w:p>
    <w:p>
      <w:pPr>
        <w:keepNext/>
      </w:pPr>
      <w:r>
        <w:rPr>
          <w:b/>
        </w:rPr>
        <w:t>Prazo de avaliação ou fechamento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638"/>
      </w:tblGrid>
      <w:tr>
        <w:trPr>
          <w:trHeight w:val="482"/>
        </w:trPr>
        <w:tc>
          <w:tcPr>
            <w:tcW w:type="dxa" w:w="9638"/>
          </w:tcPr>
          <w:p>
            <w:r/>
          </w:p>
        </w:tc>
      </w:tr>
    </w:tbl>
    <w:p>
      <w:pPr>
        <w:spacing w:after="0"/>
      </w:pPr>
    </w:p>
    <w:p>
      <w:pPr>
        <w:pStyle w:val="Heading1"/>
      </w:pPr>
      <w:r>
        <w:t>3. Qualidade de dados</w:t>
      </w:r>
    </w:p>
    <w:p>
      <w:pPr>
        <w:keepNext/>
      </w:pPr>
      <w:r>
        <w:t>Os dados usados pelas iniciativas de IA em produção passam por processo documentado de qualidade, com responsável identificado (data steward ou equivalente)? Se Não: modelos operam sobre dados sem garantia de consistência; decisões automatizadas herdam a inconsistência em escala.</w:t>
      </w:r>
    </w:p>
    <w:p>
      <w:pPr>
        <w:keepNext/>
      </w:pPr>
      <w:r>
        <w:rPr>
          <w:b/>
        </w:rPr>
        <w:t>Resposta</w:t>
      </w:r>
    </w:p>
    <w:p>
      <w:r>
        <w:t>Opções: Sim / Não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638"/>
      </w:tblGrid>
      <w:tr>
        <w:trPr>
          <w:trHeight w:val="482"/>
        </w:trPr>
        <w:tc>
          <w:tcPr>
            <w:tcW w:type="dxa" w:w="9638"/>
          </w:tcPr>
          <w:p>
            <w:r/>
          </w:p>
        </w:tc>
      </w:tr>
    </w:tbl>
    <w:p>
      <w:pPr>
        <w:spacing w:after="0"/>
      </w:pPr>
    </w:p>
    <w:p>
      <w:pPr>
        <w:keepNext/>
      </w:pPr>
      <w:r>
        <w:rPr>
          <w:b/>
        </w:rPr>
        <w:t>Evidência verificável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638"/>
      </w:tblGrid>
      <w:tr>
        <w:trPr>
          <w:trHeight w:val="907"/>
        </w:trPr>
        <w:tc>
          <w:tcPr>
            <w:tcW w:type="dxa" w:w="9638"/>
          </w:tcPr>
          <w:p>
            <w:r/>
          </w:p>
        </w:tc>
      </w:tr>
    </w:tbl>
    <w:p>
      <w:pPr>
        <w:spacing w:after="0"/>
      </w:pPr>
    </w:p>
    <w:p>
      <w:pPr>
        <w:keepNext/>
      </w:pPr>
      <w:r>
        <w:rPr>
          <w:b/>
        </w:rPr>
        <w:t>Data steward ou equivalente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638"/>
      </w:tblGrid>
      <w:tr>
        <w:trPr>
          <w:trHeight w:val="482"/>
        </w:trPr>
        <w:tc>
          <w:tcPr>
            <w:tcW w:type="dxa" w:w="9638"/>
          </w:tcPr>
          <w:p>
            <w:r/>
          </w:p>
        </w:tc>
      </w:tr>
    </w:tbl>
    <w:p>
      <w:pPr>
        <w:spacing w:after="0"/>
      </w:pPr>
    </w:p>
    <w:p>
      <w:pPr>
        <w:keepNext/>
      </w:pPr>
      <w:r>
        <w:rPr>
          <w:b/>
        </w:rPr>
        <w:t>Responsável pela correção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638"/>
      </w:tblGrid>
      <w:tr>
        <w:trPr>
          <w:trHeight w:val="482"/>
        </w:trPr>
        <w:tc>
          <w:tcPr>
            <w:tcW w:type="dxa" w:w="9638"/>
          </w:tcPr>
          <w:p>
            <w:r/>
          </w:p>
        </w:tc>
      </w:tr>
    </w:tbl>
    <w:p>
      <w:pPr>
        <w:spacing w:after="0"/>
      </w:pPr>
    </w:p>
    <w:p>
      <w:pPr>
        <w:pStyle w:val="Heading1"/>
      </w:pPr>
      <w:r>
        <w:t>4. Integração com sistemas core</w:t>
      </w:r>
    </w:p>
    <w:p>
      <w:pPr>
        <w:keepNext/>
      </w:pPr>
      <w:r>
        <w:t>Os sistemas core (ERP, CRM, plataformas de dados) têm APIs documentadas e operacionais que permitem integração com soluções de IA sem intervenção manual recorrente? Se Não: cada piloto cria sua própria camada de integração; a dívida técnica se acumula em silêncio.</w:t>
      </w:r>
    </w:p>
    <w:p>
      <w:pPr>
        <w:keepNext/>
      </w:pPr>
      <w:r>
        <w:rPr>
          <w:b/>
        </w:rPr>
        <w:t>Resposta</w:t>
      </w:r>
    </w:p>
    <w:p>
      <w:r>
        <w:t>Opções: Sim / Não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638"/>
      </w:tblGrid>
      <w:tr>
        <w:trPr>
          <w:trHeight w:val="482"/>
        </w:trPr>
        <w:tc>
          <w:tcPr>
            <w:tcW w:type="dxa" w:w="9638"/>
          </w:tcPr>
          <w:p>
            <w:r/>
          </w:p>
        </w:tc>
      </w:tr>
    </w:tbl>
    <w:p>
      <w:pPr>
        <w:spacing w:after="0"/>
      </w:pPr>
    </w:p>
    <w:p>
      <w:pPr>
        <w:keepNext/>
      </w:pPr>
      <w:r>
        <w:rPr>
          <w:b/>
        </w:rPr>
        <w:t>Evidência verificável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638"/>
      </w:tblGrid>
      <w:tr>
        <w:trPr>
          <w:trHeight w:val="907"/>
        </w:trPr>
        <w:tc>
          <w:tcPr>
            <w:tcW w:type="dxa" w:w="9638"/>
          </w:tcPr>
          <w:p>
            <w:r/>
          </w:p>
        </w:tc>
      </w:tr>
    </w:tbl>
    <w:p>
      <w:pPr>
        <w:spacing w:after="0"/>
      </w:pPr>
    </w:p>
    <w:p>
      <w:pPr>
        <w:keepNext/>
      </w:pPr>
      <w:r>
        <w:rPr>
          <w:b/>
        </w:rPr>
        <w:t>Responsável pela correção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638"/>
      </w:tblGrid>
      <w:tr>
        <w:trPr>
          <w:trHeight w:val="482"/>
        </w:trPr>
        <w:tc>
          <w:tcPr>
            <w:tcW w:type="dxa" w:w="9638"/>
          </w:tcPr>
          <w:p>
            <w:r/>
          </w:p>
        </w:tc>
      </w:tr>
    </w:tbl>
    <w:p>
      <w:pPr>
        <w:spacing w:after="0"/>
      </w:pPr>
    </w:p>
    <w:p>
      <w:pPr>
        <w:keepNext/>
      </w:pPr>
      <w:r>
        <w:rPr>
          <w:b/>
        </w:rPr>
        <w:t>Critério de encerramento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638"/>
      </w:tblGrid>
      <w:tr>
        <w:trPr>
          <w:trHeight w:val="482"/>
        </w:trPr>
        <w:tc>
          <w:tcPr>
            <w:tcW w:type="dxa" w:w="9638"/>
          </w:tcPr>
          <w:p>
            <w:r/>
          </w:p>
        </w:tc>
      </w:tr>
    </w:tbl>
    <w:p>
      <w:pPr>
        <w:spacing w:after="0"/>
      </w:pPr>
    </w:p>
    <w:p>
      <w:pPr>
        <w:pStyle w:val="Heading1"/>
      </w:pPr>
      <w:r>
        <w:t>5. Aprovação e stop rule</w:t>
      </w:r>
    </w:p>
    <w:p>
      <w:pPr>
        <w:keepNext/>
      </w:pPr>
      <w:r>
        <w:t>Existe um processo formal de aprovação para novas iniciativas de IA que inclua avaliação de risco, requisitos de governança e critério de encerramento (stop rule)? Se Não: qualquer área pode iniciar um projeto sem controle; o portfólio cresce por inércia, não por decisão.</w:t>
      </w:r>
    </w:p>
    <w:p>
      <w:pPr>
        <w:keepNext/>
      </w:pPr>
      <w:r>
        <w:rPr>
          <w:b/>
        </w:rPr>
        <w:t>Resposta</w:t>
      </w:r>
    </w:p>
    <w:p>
      <w:r>
        <w:t>Opções: Sim / Não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638"/>
      </w:tblGrid>
      <w:tr>
        <w:trPr>
          <w:trHeight w:val="482"/>
        </w:trPr>
        <w:tc>
          <w:tcPr>
            <w:tcW w:type="dxa" w:w="9638"/>
          </w:tcPr>
          <w:p>
            <w:r/>
          </w:p>
        </w:tc>
      </w:tr>
    </w:tbl>
    <w:p>
      <w:pPr>
        <w:spacing w:after="0"/>
      </w:pPr>
    </w:p>
    <w:p>
      <w:pPr>
        <w:keepNext/>
      </w:pPr>
      <w:r>
        <w:rPr>
          <w:b/>
        </w:rPr>
        <w:t>Evidência verificável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638"/>
      </w:tblGrid>
      <w:tr>
        <w:trPr>
          <w:trHeight w:val="907"/>
        </w:trPr>
        <w:tc>
          <w:tcPr>
            <w:tcW w:type="dxa" w:w="9638"/>
          </w:tcPr>
          <w:p>
            <w:r/>
          </w:p>
        </w:tc>
      </w:tr>
    </w:tbl>
    <w:p>
      <w:pPr>
        <w:spacing w:after="0"/>
      </w:pPr>
    </w:p>
    <w:p>
      <w:pPr>
        <w:keepNext/>
      </w:pPr>
      <w:r>
        <w:rPr>
          <w:b/>
        </w:rPr>
        <w:t>Responsável pela correção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638"/>
      </w:tblGrid>
      <w:tr>
        <w:trPr>
          <w:trHeight w:val="482"/>
        </w:trPr>
        <w:tc>
          <w:tcPr>
            <w:tcW w:type="dxa" w:w="9638"/>
          </w:tcPr>
          <w:p>
            <w:r/>
          </w:p>
        </w:tc>
      </w:tr>
    </w:tbl>
    <w:p>
      <w:pPr>
        <w:spacing w:after="0"/>
      </w:pPr>
    </w:p>
    <w:p>
      <w:pPr>
        <w:keepNext/>
      </w:pPr>
      <w:r>
        <w:rPr>
          <w:b/>
        </w:rPr>
        <w:t>Stop rule documentada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638"/>
      </w:tblGrid>
      <w:tr>
        <w:trPr>
          <w:trHeight w:val="907"/>
        </w:trPr>
        <w:tc>
          <w:tcPr>
            <w:tcW w:type="dxa" w:w="9638"/>
          </w:tcPr>
          <w:p>
            <w:r/>
          </w:p>
        </w:tc>
      </w:tr>
    </w:tbl>
    <w:p>
      <w:pPr>
        <w:spacing w:after="0"/>
      </w:pPr>
    </w:p>
    <w:p>
      <w:pPr>
        <w:pStyle w:val="Heading1"/>
      </w:pPr>
      <w:r>
        <w:t>6. Shadow AI</w:t>
      </w:r>
    </w:p>
    <w:p>
      <w:pPr>
        <w:keepNext/>
      </w:pPr>
      <w:r>
        <w:t>A organização consegue identificar, em menos de 48 horas, quais ferramentas de IA estão sendo usadas por funcionários fora do inventário oficial? Se Não: shadow AI já é a condição padrão; é o risco mais imediato.</w:t>
      </w:r>
    </w:p>
    <w:p>
      <w:pPr>
        <w:keepNext/>
      </w:pPr>
      <w:r>
        <w:rPr>
          <w:b/>
        </w:rPr>
        <w:t>Resposta</w:t>
      </w:r>
    </w:p>
    <w:p>
      <w:r>
        <w:t>Opções: Sim / Não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638"/>
      </w:tblGrid>
      <w:tr>
        <w:trPr>
          <w:trHeight w:val="482"/>
        </w:trPr>
        <w:tc>
          <w:tcPr>
            <w:tcW w:type="dxa" w:w="9638"/>
          </w:tcPr>
          <w:p>
            <w:r/>
          </w:p>
        </w:tc>
      </w:tr>
    </w:tbl>
    <w:p>
      <w:pPr>
        <w:spacing w:after="0"/>
      </w:pPr>
    </w:p>
    <w:p>
      <w:pPr>
        <w:keepNext/>
      </w:pPr>
      <w:r>
        <w:rPr>
          <w:b/>
        </w:rPr>
        <w:t>Evidência verificável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638"/>
      </w:tblGrid>
      <w:tr>
        <w:trPr>
          <w:trHeight w:val="907"/>
        </w:trPr>
        <w:tc>
          <w:tcPr>
            <w:tcW w:type="dxa" w:w="9638"/>
          </w:tcPr>
          <w:p>
            <w:r/>
          </w:p>
        </w:tc>
      </w:tr>
    </w:tbl>
    <w:p>
      <w:pPr>
        <w:spacing w:after="0"/>
      </w:pPr>
    </w:p>
    <w:p>
      <w:pPr>
        <w:keepNext/>
      </w:pPr>
      <w:r>
        <w:rPr>
          <w:b/>
        </w:rPr>
        <w:t>Responsável pela correção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638"/>
      </w:tblGrid>
      <w:tr>
        <w:trPr>
          <w:trHeight w:val="482"/>
        </w:trPr>
        <w:tc>
          <w:tcPr>
            <w:tcW w:type="dxa" w:w="9638"/>
          </w:tcPr>
          <w:p>
            <w:r/>
          </w:p>
        </w:tc>
      </w:tr>
    </w:tbl>
    <w:p>
      <w:pPr>
        <w:spacing w:after="0"/>
      </w:pPr>
    </w:p>
    <w:p>
      <w:pPr>
        <w:keepNext/>
      </w:pPr>
      <w:r>
        <w:rPr>
          <w:b/>
        </w:rPr>
        <w:t>Tempo de identificação</w:t>
      </w:r>
    </w:p>
    <w:p>
      <w:pPr>
        <w:keepNext/>
      </w:pPr>
      <w:r>
        <w:t>Registrar se é inferior a 48 horas.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638"/>
      </w:tblGrid>
      <w:tr>
        <w:trPr>
          <w:trHeight w:val="482"/>
        </w:trPr>
        <w:tc>
          <w:tcPr>
            <w:tcW w:type="dxa" w:w="9638"/>
          </w:tcPr>
          <w:p>
            <w:r/>
          </w:p>
        </w:tc>
      </w:tr>
    </w:tbl>
    <w:p>
      <w:pPr>
        <w:spacing w:after="0"/>
      </w:pPr>
    </w:p>
    <w:p>
      <w:pPr>
        <w:pStyle w:val="Heading1"/>
      </w:pPr>
      <w:r>
        <w:t>7. Monitoramento em produção</w:t>
      </w:r>
    </w:p>
    <w:p>
      <w:pPr>
        <w:keepNext/>
      </w:pPr>
      <w:r>
        <w:t>Existe pelo menos um papel formal responsável por monitorar o comportamento de modelos de IA em produção (acurácia, drift, incidentes)? Se Não: modelos degradam em produção sem que ninguém perceba; a empresa confia em sistemas que ninguém inspeciona.</w:t>
      </w:r>
    </w:p>
    <w:p>
      <w:pPr>
        <w:keepNext/>
      </w:pPr>
      <w:r>
        <w:rPr>
          <w:b/>
        </w:rPr>
        <w:t>Resposta</w:t>
      </w:r>
    </w:p>
    <w:p>
      <w:r>
        <w:t>Opções: Sim / Não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638"/>
      </w:tblGrid>
      <w:tr>
        <w:trPr>
          <w:trHeight w:val="482"/>
        </w:trPr>
        <w:tc>
          <w:tcPr>
            <w:tcW w:type="dxa" w:w="9638"/>
          </w:tcPr>
          <w:p>
            <w:r/>
          </w:p>
        </w:tc>
      </w:tr>
    </w:tbl>
    <w:p>
      <w:pPr>
        <w:spacing w:after="0"/>
      </w:pPr>
    </w:p>
    <w:p>
      <w:pPr>
        <w:keepNext/>
      </w:pPr>
      <w:r>
        <w:rPr>
          <w:b/>
        </w:rPr>
        <w:t>Evidência verificável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638"/>
      </w:tblGrid>
      <w:tr>
        <w:trPr>
          <w:trHeight w:val="907"/>
        </w:trPr>
        <w:tc>
          <w:tcPr>
            <w:tcW w:type="dxa" w:w="9638"/>
          </w:tcPr>
          <w:p>
            <w:r/>
          </w:p>
        </w:tc>
      </w:tr>
    </w:tbl>
    <w:p>
      <w:pPr>
        <w:spacing w:after="0"/>
      </w:pPr>
    </w:p>
    <w:p>
      <w:pPr>
        <w:keepNext/>
      </w:pPr>
      <w:r>
        <w:rPr>
          <w:b/>
        </w:rPr>
        <w:t>Papel responsável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638"/>
      </w:tblGrid>
      <w:tr>
        <w:trPr>
          <w:trHeight w:val="482"/>
        </w:trPr>
        <w:tc>
          <w:tcPr>
            <w:tcW w:type="dxa" w:w="9638"/>
          </w:tcPr>
          <w:p>
            <w:r/>
          </w:p>
        </w:tc>
      </w:tr>
    </w:tbl>
    <w:p>
      <w:pPr>
        <w:spacing w:after="0"/>
      </w:pPr>
    </w:p>
    <w:p>
      <w:pPr>
        <w:keepNext/>
      </w:pPr>
      <w:r>
        <w:rPr>
          <w:b/>
        </w:rPr>
        <w:t>Responsável pela correção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638"/>
      </w:tblGrid>
      <w:tr>
        <w:trPr>
          <w:trHeight w:val="482"/>
        </w:trPr>
        <w:tc>
          <w:tcPr>
            <w:tcW w:type="dxa" w:w="9638"/>
          </w:tcPr>
          <w:p>
            <w:r/>
          </w:p>
        </w:tc>
      </w:tr>
    </w:tbl>
    <w:p>
      <w:pPr>
        <w:spacing w:after="0"/>
      </w:pPr>
    </w:p>
    <w:p>
      <w:pPr>
        <w:pStyle w:val="Heading1"/>
      </w:pPr>
      <w:r>
        <w:t>8. Custo total de IA</w:t>
      </w:r>
    </w:p>
    <w:p>
      <w:pPr>
        <w:keepNext/>
      </w:pPr>
      <w:r>
        <w:t>O custo total de IA (licenças, infraestrutura, consultoria, horas internas) é rastreado separadamente no orçamento e revisado ao menos trimestralmente pelo CFO ou controller? Se Não: o custo real está diluído em ‘inovação’ ou ‘transformação digital’; ninguém sabe quanto a empresa gasta em IA.</w:t>
      </w:r>
    </w:p>
    <w:p>
      <w:pPr>
        <w:keepNext/>
      </w:pPr>
      <w:r>
        <w:rPr>
          <w:b/>
        </w:rPr>
        <w:t>Resposta</w:t>
      </w:r>
    </w:p>
    <w:p>
      <w:r>
        <w:t>Opções: Sim / Não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638"/>
      </w:tblGrid>
      <w:tr>
        <w:trPr>
          <w:trHeight w:val="482"/>
        </w:trPr>
        <w:tc>
          <w:tcPr>
            <w:tcW w:type="dxa" w:w="9638"/>
          </w:tcPr>
          <w:p>
            <w:r/>
          </w:p>
        </w:tc>
      </w:tr>
    </w:tbl>
    <w:p>
      <w:pPr>
        <w:spacing w:after="0"/>
      </w:pPr>
    </w:p>
    <w:p>
      <w:pPr>
        <w:keepNext/>
      </w:pPr>
      <w:r>
        <w:rPr>
          <w:b/>
        </w:rPr>
        <w:t>Evidência verificável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638"/>
      </w:tblGrid>
      <w:tr>
        <w:trPr>
          <w:trHeight w:val="907"/>
        </w:trPr>
        <w:tc>
          <w:tcPr>
            <w:tcW w:type="dxa" w:w="9638"/>
          </w:tcPr>
          <w:p>
            <w:r/>
          </w:p>
        </w:tc>
      </w:tr>
    </w:tbl>
    <w:p>
      <w:pPr>
        <w:spacing w:after="0"/>
      </w:pPr>
    </w:p>
    <w:p>
      <w:pPr>
        <w:keepNext/>
      </w:pPr>
      <w:r>
        <w:rPr>
          <w:b/>
        </w:rPr>
        <w:t>CFO ou controller responsável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638"/>
      </w:tblGrid>
      <w:tr>
        <w:trPr>
          <w:trHeight w:val="482"/>
        </w:trPr>
        <w:tc>
          <w:tcPr>
            <w:tcW w:type="dxa" w:w="9638"/>
          </w:tcPr>
          <w:p>
            <w:r/>
          </w:p>
        </w:tc>
      </w:tr>
    </w:tbl>
    <w:p>
      <w:pPr>
        <w:spacing w:after="0"/>
      </w:pPr>
    </w:p>
    <w:p>
      <w:pPr>
        <w:keepNext/>
      </w:pPr>
      <w:r>
        <w:rPr>
          <w:b/>
        </w:rPr>
        <w:t>Próxima revisão financeira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638"/>
      </w:tblGrid>
      <w:tr>
        <w:trPr>
          <w:trHeight w:val="482"/>
        </w:trPr>
        <w:tc>
          <w:tcPr>
            <w:tcW w:type="dxa" w:w="9638"/>
          </w:tcPr>
          <w:p>
            <w:r/>
          </w:p>
        </w:tc>
      </w:tr>
    </w:tbl>
    <w:p>
      <w:pPr>
        <w:spacing w:after="0"/>
      </w:pPr>
    </w:p>
    <w:p>
      <w:pPr>
        <w:pStyle w:val="Heading1"/>
      </w:pPr>
      <w:r>
        <w:t>9. Encerramento de iniciativas</w:t>
      </w:r>
    </w:p>
    <w:p>
      <w:pPr>
        <w:keepNext/>
      </w:pPr>
      <w:r>
        <w:t>Pelo menos uma iniciativa de IA encerrou nos últimos 12 meses com registro formal do motivo, do custo acumulado e das lições aprendidas? Se Não: a organização nunca matou um projeto de IA; provavelmente não tem disciplina de portfólio.</w:t>
      </w:r>
    </w:p>
    <w:p>
      <w:pPr>
        <w:keepNext/>
      </w:pPr>
      <w:r>
        <w:rPr>
          <w:b/>
        </w:rPr>
        <w:t>Resposta</w:t>
      </w:r>
    </w:p>
    <w:p>
      <w:r>
        <w:t>Opções: Sim / Não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638"/>
      </w:tblGrid>
      <w:tr>
        <w:trPr>
          <w:trHeight w:val="482"/>
        </w:trPr>
        <w:tc>
          <w:tcPr>
            <w:tcW w:type="dxa" w:w="9638"/>
          </w:tcPr>
          <w:p>
            <w:r/>
          </w:p>
        </w:tc>
      </w:tr>
    </w:tbl>
    <w:p>
      <w:pPr>
        <w:spacing w:after="0"/>
      </w:pPr>
    </w:p>
    <w:p>
      <w:pPr>
        <w:keepNext/>
      </w:pPr>
      <w:r>
        <w:rPr>
          <w:b/>
        </w:rPr>
        <w:t>Evidência verificável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638"/>
      </w:tblGrid>
      <w:tr>
        <w:trPr>
          <w:trHeight w:val="907"/>
        </w:trPr>
        <w:tc>
          <w:tcPr>
            <w:tcW w:type="dxa" w:w="9638"/>
          </w:tcPr>
          <w:p>
            <w:r/>
          </w:p>
        </w:tc>
      </w:tr>
    </w:tbl>
    <w:p>
      <w:pPr>
        <w:spacing w:after="0"/>
      </w:pPr>
    </w:p>
    <w:p>
      <w:pPr>
        <w:keepNext/>
      </w:pPr>
      <w:r>
        <w:rPr>
          <w:b/>
        </w:rPr>
        <w:t>Motivo, custo acumulado e lições aprendidas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638"/>
      </w:tblGrid>
      <w:tr>
        <w:trPr>
          <w:trHeight w:val="907"/>
        </w:trPr>
        <w:tc>
          <w:tcPr>
            <w:tcW w:type="dxa" w:w="9638"/>
          </w:tcPr>
          <w:p>
            <w:r/>
          </w:p>
        </w:tc>
      </w:tr>
    </w:tbl>
    <w:p>
      <w:pPr>
        <w:spacing w:after="0"/>
      </w:pPr>
    </w:p>
    <w:p>
      <w:pPr>
        <w:keepNext/>
      </w:pPr>
      <w:r>
        <w:rPr>
          <w:b/>
        </w:rPr>
        <w:t>Responsável pela correção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638"/>
      </w:tblGrid>
      <w:tr>
        <w:trPr>
          <w:trHeight w:val="482"/>
        </w:trPr>
        <w:tc>
          <w:tcPr>
            <w:tcW w:type="dxa" w:w="9638"/>
          </w:tcPr>
          <w:p>
            <w:r/>
          </w:p>
        </w:tc>
      </w:tr>
    </w:tbl>
    <w:p>
      <w:pPr>
        <w:spacing w:after="0"/>
      </w:pPr>
    </w:p>
    <w:p>
      <w:pPr>
        <w:pStyle w:val="Heading1"/>
      </w:pPr>
      <w:r>
        <w:t>10. Visibilidade executiva</w:t>
      </w:r>
    </w:p>
    <w:p>
      <w:pPr>
        <w:keepNext/>
      </w:pPr>
      <w:r>
        <w:t>O comitê executivo ou o conselho discutiu, ao menos uma vez nos últimos 6 meses, o status consolidado das iniciativas de IA com dados de custo e resultado? Se Não: IA é tema de TI, não de negócio; sem visibilidade no board, sem accountability no topo.</w:t>
      </w:r>
    </w:p>
    <w:p>
      <w:pPr>
        <w:keepNext/>
      </w:pPr>
      <w:r>
        <w:rPr>
          <w:b/>
        </w:rPr>
        <w:t>Resposta</w:t>
      </w:r>
    </w:p>
    <w:p>
      <w:r>
        <w:t>Opções: Sim / Não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638"/>
      </w:tblGrid>
      <w:tr>
        <w:trPr>
          <w:trHeight w:val="482"/>
        </w:trPr>
        <w:tc>
          <w:tcPr>
            <w:tcW w:type="dxa" w:w="9638"/>
          </w:tcPr>
          <w:p>
            <w:r/>
          </w:p>
        </w:tc>
      </w:tr>
    </w:tbl>
    <w:p>
      <w:pPr>
        <w:spacing w:after="0"/>
      </w:pPr>
    </w:p>
    <w:p>
      <w:pPr>
        <w:keepNext/>
      </w:pPr>
      <w:r>
        <w:rPr>
          <w:b/>
        </w:rPr>
        <w:t>Evidência verificável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638"/>
      </w:tblGrid>
      <w:tr>
        <w:trPr>
          <w:trHeight w:val="907"/>
        </w:trPr>
        <w:tc>
          <w:tcPr>
            <w:tcW w:type="dxa" w:w="9638"/>
          </w:tcPr>
          <w:p>
            <w:r/>
          </w:p>
        </w:tc>
      </w:tr>
    </w:tbl>
    <w:p>
      <w:pPr>
        <w:spacing w:after="0"/>
      </w:pPr>
    </w:p>
    <w:p>
      <w:pPr>
        <w:keepNext/>
      </w:pPr>
      <w:r>
        <w:rPr>
          <w:b/>
        </w:rPr>
        <w:t>Responsável pela compilação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638"/>
      </w:tblGrid>
      <w:tr>
        <w:trPr>
          <w:trHeight w:val="482"/>
        </w:trPr>
        <w:tc>
          <w:tcPr>
            <w:tcW w:type="dxa" w:w="9638"/>
          </w:tcPr>
          <w:p>
            <w:r/>
          </w:p>
        </w:tc>
      </w:tr>
    </w:tbl>
    <w:p>
      <w:pPr>
        <w:spacing w:after="0"/>
      </w:pPr>
    </w:p>
    <w:p>
      <w:pPr>
        <w:keepNext/>
      </w:pPr>
      <w:r>
        <w:rPr>
          <w:b/>
        </w:rPr>
        <w:t>Data da última discussão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638"/>
      </w:tblGrid>
      <w:tr>
        <w:trPr>
          <w:trHeight w:val="482"/>
        </w:trPr>
        <w:tc>
          <w:tcPr>
            <w:tcW w:type="dxa" w:w="9638"/>
          </w:tcPr>
          <w:p>
            <w:r/>
          </w:p>
        </w:tc>
      </w:tr>
    </w:tbl>
    <w:p>
      <w:pPr>
        <w:spacing w:after="0"/>
      </w:pPr>
    </w:p>
    <w:p>
      <w:pPr>
        <w:pStyle w:val="Heading1"/>
      </w:pPr>
      <w:r>
        <w:t>Registro do diagnóstico</w:t>
      </w:r>
    </w:p>
    <w:p>
      <w:pPr>
        <w:keepNext/>
      </w:pPr>
      <w:r>
        <w:rPr>
          <w:b/>
        </w:rPr>
        <w:t>Data do diagnóstico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638"/>
      </w:tblGrid>
      <w:tr>
        <w:trPr>
          <w:trHeight w:val="482"/>
        </w:trPr>
        <w:tc>
          <w:tcPr>
            <w:tcW w:type="dxa" w:w="9638"/>
          </w:tcPr>
          <w:p>
            <w:r/>
          </w:p>
        </w:tc>
      </w:tr>
    </w:tbl>
    <w:p>
      <w:pPr>
        <w:spacing w:after="0"/>
      </w:pPr>
    </w:p>
    <w:p>
      <w:pPr>
        <w:keepNext/>
      </w:pPr>
      <w:r>
        <w:rPr>
          <w:b/>
        </w:rPr>
        <w:t>Participantes</w:t>
      </w:r>
    </w:p>
    <w:p>
      <w:pPr>
        <w:keepNext/>
      </w:pPr>
      <w:r>
        <w:t>Nomes e papéis.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638"/>
      </w:tblGrid>
      <w:tr>
        <w:trPr>
          <w:trHeight w:val="907"/>
        </w:trPr>
        <w:tc>
          <w:tcPr>
            <w:tcW w:type="dxa" w:w="9638"/>
          </w:tcPr>
          <w:p>
            <w:r/>
          </w:p>
        </w:tc>
      </w:tr>
    </w:tbl>
    <w:p>
      <w:pPr>
        <w:spacing w:after="0"/>
      </w:pPr>
    </w:p>
    <w:p>
      <w:pPr>
        <w:keepNext/>
      </w:pPr>
      <w:r>
        <w:rPr>
          <w:b/>
        </w:rPr>
        <w:t>Responsável pela compilação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638"/>
      </w:tblGrid>
      <w:tr>
        <w:trPr>
          <w:trHeight w:val="482"/>
        </w:trPr>
        <w:tc>
          <w:tcPr>
            <w:tcW w:type="dxa" w:w="9638"/>
          </w:tcPr>
          <w:p>
            <w:r/>
          </w:p>
        </w:tc>
      </w:tr>
    </w:tbl>
    <w:p>
      <w:pPr>
        <w:spacing w:after="0"/>
      </w:pPr>
    </w:p>
    <w:p>
      <w:pPr>
        <w:keepNext/>
      </w:pPr>
      <w:r>
        <w:rPr>
          <w:b/>
        </w:rPr>
        <w:t>Próxima revisão</w:t>
      </w:r>
    </w:p>
    <w:p>
      <w:pPr>
        <w:keepNext/>
      </w:pPr>
      <w:r>
        <w:t>Mínimo trimestral.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638"/>
      </w:tblGrid>
      <w:tr>
        <w:trPr>
          <w:trHeight w:val="482"/>
        </w:trPr>
        <w:tc>
          <w:tcPr>
            <w:tcW w:type="dxa" w:w="9638"/>
          </w:tcPr>
          <w:p>
            <w:r/>
          </w:p>
        </w:tc>
      </w:tr>
    </w:tbl>
    <w:p>
      <w:pPr>
        <w:spacing w:after="0"/>
      </w:pPr>
    </w:p>
    <w:p>
      <w:pPr>
        <w:pStyle w:val="Heading1"/>
      </w:pPr>
      <w:r>
        <w:t>Regras para fechar a decisão</w:t>
      </w:r>
    </w:p>
    <w:p>
      <w:pPr>
        <w:pStyle w:val="ListBullet"/>
      </w:pPr>
      <w:r>
        <w:t>8 a 10 respostas Sim indicam fundações operacionais no lugar.</w:t>
      </w:r>
    </w:p>
    <w:p>
      <w:pPr>
        <w:pStyle w:val="ListBullet"/>
      </w:pPr>
      <w:r>
        <w:t>5 a 7 respostas Sim indicam gaps que precisam ser fechados antes de escalar qualquer iniciativa.</w:t>
      </w:r>
    </w:p>
    <w:p>
      <w:pPr>
        <w:pStyle w:val="ListBullet"/>
      </w:pPr>
      <w:r>
        <w:t>Abaixo de 5 respostas Sim, a organização está operando no escuro; investimento adicional em IA é gasto sem critério.</w:t>
      </w:r>
    </w:p>
    <w:p>
      <w:pPr>
        <w:pStyle w:val="ListBullet"/>
      </w:pPr>
      <w:r>
        <w:t>Uma adaptação só é válida se continuar exigindo evidência verificável, dono nomeado e critério de encerramento.</w:t>
      </w:r>
    </w:p>
    <w:sectPr w:rsidR="00FC693F" w:rsidRPr="0006063C" w:rsidSect="00034616">
      <w:headerReference w:type="default" r:id="rId9"/>
      <w:footerReference w:type="default" r:id="rId10"/>
      <w:pgSz w:w="11906" w:h="16838"/>
      <w:pgMar w:top="1020" w:right="1134" w:bottom="102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  <w:r>
      <w:t xml:space="preserve">Alexandre Pereira  |  decidirnaeradaia.com.br  |  </w:t>
    </w:r>
    <w:fldSimple w:instr="PAGE"/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>
      <w:t>DECIDIR NA ERA DA IA  /  TPL-01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60"/>
    </w:pPr>
    <w:rPr>
      <w:rFonts w:ascii="Calibri" w:hAnsi="Calibri"/>
      <w:color w:val="242124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Calibri" w:hAnsi="Calibri"/>
      <w:b/>
      <w:bCs/>
      <w:color w:val="AB1528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Calibri" w:hAnsi="Calibri"/>
      <w:b/>
      <w:bCs/>
      <w:color w:val="AB1528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Calibri" w:hAnsi="Calibri"/>
      <w:color w:val="AB1528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Mini-diagnóstico de maturidade em IA</dc:title>
  <dc:subject>Capítulo 1 | Revisão 3 da editora, p. 120, 121 | Digital v1.0</dc:subject>
  <dc:creator>Alexandre Pereira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