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Teste de prontidão de produção</w:t>
      </w:r>
    </w:p>
    <w:p>
      <w:r>
        <w:t>Capítulo 8 | Revisão 3 da editora, p. 135, 136 | Digital v1.0</w:t>
      </w:r>
    </w:p>
    <w:p>
      <w:r>
        <w:t>Dez critérios para o go-live de IA no core operacional em processo de missão crítica.</w:t>
      </w:r>
    </w:p>
    <w:p>
      <w:pPr>
        <w:pStyle w:val="Heading1"/>
      </w:pPr>
      <w:r>
        <w:t>Como usar</w:t>
      </w:r>
    </w:p>
    <w:p>
      <w:pPr>
        <w:pStyle w:val="ListBullet"/>
      </w:pPr>
      <w:r>
        <w:t>Aplique antes de promover qualquer modelo da industrialização para a operação.</w:t>
      </w:r>
    </w:p>
    <w:p>
      <w:pPr>
        <w:pStyle w:val="ListBullet"/>
      </w:pPr>
      <w:r>
        <w:t>A validação de qualidade, segurança e compliance deve ser proporcional à classificação de risco.</w:t>
      </w:r>
    </w:p>
    <w:p>
      <w:r>
        <w:t>Duplique os blocos de registro conforme o número de iniciativas, agentes ou decisões. Preserve as instruções e regras.</w:t>
      </w:r>
    </w:p>
    <w:p>
      <w:pPr>
        <w:pStyle w:val="Heading1"/>
      </w:pPr>
      <w:r>
        <w:t>Identificação</w:t>
      </w:r>
    </w:p>
    <w:p>
      <w:pPr>
        <w:keepNext/>
      </w:pPr>
      <w:r>
        <w:rPr>
          <w:b/>
        </w:rPr>
        <w:t>Iniciativa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Processo de destino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Classificação de risco</w:t>
      </w:r>
    </w:p>
    <w:p>
      <w:r>
        <w:t>Opções: Faixa 1 / Faixa 2 / Faixa 3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 da avaliação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Critérios de prontidão</w:t>
      </w:r>
    </w:p>
    <w:p>
      <w:pPr>
        <w:keepNext/>
      </w:pPr>
      <w:r>
        <w:rPr>
          <w:b/>
        </w:rPr>
        <w:t>1. Source of truth definida</w:t>
      </w:r>
    </w:p>
    <w:p>
      <w:pPr>
        <w:keepNext/>
      </w:pPr>
      <w:r>
        <w:t>Para cada domínio de dados consumido. Dono: data steward.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1</w:t>
      </w:r>
    </w:p>
    <w:p>
      <w:pPr>
        <w:keepNext/>
      </w:pPr>
      <w:r>
        <w:t>Documento de source of truth assinado pelo data steward (ver Template 9, Gate 4).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2. Observabilidade funcional instalada</w:t>
      </w:r>
    </w:p>
    <w:p>
      <w:pPr>
        <w:keepNext/>
      </w:pPr>
      <w:r>
        <w:t>Monitora acurácia, drift e anomalias em produção, não só infraestrutura. Dono: CIO ou líder de MLOps.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2</w:t>
      </w:r>
    </w:p>
    <w:p>
      <w:pPr>
        <w:keepNext/>
      </w:pPr>
      <w:r>
        <w:t>Dashboard funcional com alertas configurados.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3. Drill de auditoria executado</w:t>
      </w:r>
    </w:p>
    <w:p>
      <w:pPr>
        <w:keepNext/>
      </w:pPr>
      <w:r>
        <w:t>Ao menos uma decisão rastreada do output ao input. Dono: owner do caso de uso.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3</w:t>
      </w:r>
    </w:p>
    <w:p>
      <w:pPr>
        <w:keepNext/>
      </w:pPr>
      <w:r>
        <w:t>Relatório do drill.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4. Processo de incidente definido</w:t>
      </w:r>
    </w:p>
    <w:p>
      <w:pPr>
        <w:keepNext/>
      </w:pPr>
      <w:r>
        <w:t>Incident commander nomeado, escopo claro, cadência de comunicação e critério explícito de escalação ao comitê executivo. Dono: incident commander.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4</w:t>
      </w:r>
    </w:p>
    <w:p>
      <w:pPr>
        <w:keepNext/>
      </w:pPr>
      <w:r>
        <w:t>Documento do processo de incidente.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5. Rollback testado</w:t>
      </w:r>
    </w:p>
    <w:p>
      <w:pPr>
        <w:keepNext/>
      </w:pPr>
      <w:r>
        <w:t>Mecanismo para reverter ao processo anterior, testado em condições próximas às de produção. Dono: CIO.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5</w:t>
      </w:r>
    </w:p>
    <w:p>
      <w:pPr>
        <w:keepNext/>
      </w:pPr>
      <w:r>
        <w:t>Registro do teste de rollback com resultado.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6. Custo completo no mês 24 projetado</w:t>
      </w:r>
    </w:p>
    <w:p>
      <w:pPr>
        <w:keepNext/>
      </w:pPr>
      <w:r>
        <w:t>Inclui exit cost. Dono: CFO.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6</w:t>
      </w:r>
    </w:p>
    <w:p>
      <w:pPr>
        <w:keepNext/>
      </w:pPr>
      <w:r>
        <w:t>Projeção econômica documentada e validada pelo CFO.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7. Data de sunset do legado definida</w:t>
      </w:r>
    </w:p>
    <w:p>
      <w:pPr>
        <w:keepNext/>
      </w:pPr>
      <w:r>
        <w:t>Dono: process owner.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7</w:t>
      </w:r>
    </w:p>
    <w:p>
      <w:pPr>
        <w:keepNext/>
      </w:pPr>
      <w:r>
        <w:t>Cronograma de desligamento do processo anterior, com responsável e condições de ativação.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8. Validação mínima concluída</w:t>
      </w:r>
    </w:p>
    <w:p>
      <w:pPr>
        <w:keepNext/>
      </w:pPr>
      <w:r>
        <w:t>Testes de qualidade, segurança e compliance proporcionais ao risco; em Faixa 2 e 3, inclui red-teaming documentado. Dono: sponsor executivo.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8</w:t>
      </w:r>
    </w:p>
    <w:p>
      <w:pPr>
        <w:keepNext/>
      </w:pPr>
      <w:r>
        <w:t>Relatório de validação.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9. Controle de acesso e privilégio mínimo aplicados</w:t>
      </w:r>
    </w:p>
    <w:p>
      <w:pPr>
        <w:keepNext/>
      </w:pPr>
      <w:r>
        <w:t>Modelo e agentes conectados têm permissões mínimas necessárias, documentadas e revisadas. Dono: CISO.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9</w:t>
      </w:r>
    </w:p>
    <w:p>
      <w:pPr>
        <w:keepNext/>
      </w:pPr>
      <w:r>
        <w:t>Registro de permissões.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10. Owner de negócio confirmado para operação contínua</w:t>
      </w:r>
    </w:p>
    <w:p>
      <w:pPr>
        <w:keepNext/>
      </w:pPr>
      <w:r>
        <w:t>Executivo accountable pelo resultado em produção, não apenas pelo lançamento. Dono: CEO ou sponsor executivo.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10</w:t>
      </w:r>
    </w:p>
    <w:p>
      <w:pPr>
        <w:keepNext/>
      </w:pPr>
      <w:r>
        <w:t>Nomeação formal com escopo de responsabilidade.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Resultado</w:t>
      </w:r>
    </w:p>
    <w:p>
      <w:pPr>
        <w:keepNext/>
      </w:pPr>
      <w:r>
        <w:rPr>
          <w:b/>
        </w:rPr>
        <w:t>Critérios atendidos</w:t>
      </w:r>
    </w:p>
    <w:p>
      <w:pPr>
        <w:keepNext/>
      </w:pPr>
      <w:r>
        <w:t>Informe o total de 10.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Gaps e plano de remediação</w:t>
      </w:r>
    </w:p>
    <w:p>
      <w:pPr>
        <w:keepNext/>
      </w:pPr>
      <w:r>
        <w:t>Liste prazo e responsável para cada gap.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Go-live aprovado?</w:t>
      </w:r>
    </w:p>
    <w:p>
      <w:r>
        <w:t>Opções: Sim / Não / Condicionado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Aprovador</w:t>
      </w:r>
    </w:p>
    <w:p>
      <w:pPr>
        <w:keepNext/>
      </w:pPr>
      <w:r>
        <w:t>CIO, com validação do CFO e do sponsor executivo.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Regras para fechar a decisão</w:t>
      </w:r>
    </w:p>
    <w:p>
      <w:pPr>
        <w:pStyle w:val="ListBullet"/>
      </w:pPr>
      <w:r>
        <w:t>Para Faixa 2 e 3, os dez critérios são obrigatórios.</w:t>
      </w:r>
    </w:p>
    <w:p>
      <w:pPr>
        <w:pStyle w:val="ListBullet"/>
      </w:pPr>
      <w:r>
        <w:t>Para Faixa 2 e 3, a validação mínima inclui red-teaming documentado.</w:t>
      </w:r>
    </w:p>
    <w:p>
      <w:pPr>
        <w:pStyle w:val="ListBullet"/>
      </w:pPr>
      <w:r>
        <w:t>O go-live só é avaliado após registrar gaps, plano de remediação, prazo e responsável.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Alexandre Pereira  |  decidirnaeradaia.com.br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DECIDIR NA ERA DA IA  /  TPL-10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  <w:color w:val="24212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AB15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AB152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AB152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Teste de prontidão de produção</dc:title>
  <dc:subject>Capítulo 8 | Revisão 3 da editora, p. 135, 136 | Digital v1.0</dc:subject>
  <dc:creator>Alexandre Pereira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