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Playbook de time híbrido</w:t>
      </w:r>
    </w:p>
    <w:p>
      <w:r>
        <w:t>Capítulo 10 | Revisão 3 da editora, p. 139, 140, 141 | Digital v1.0</w:t>
      </w:r>
    </w:p>
    <w:p>
      <w:r>
        <w:t>Papéis, rituais, RACI, métricas e stop rules para operar times com humanos e agentes de IA.</w:t>
      </w:r>
    </w:p>
    <w:p>
      <w:pPr>
        <w:pStyle w:val="Heading1"/>
      </w:pPr>
      <w:r>
        <w:t>Como usar</w:t>
      </w:r>
    </w:p>
    <w:p>
      <w:pPr>
        <w:pStyle w:val="ListBullet"/>
      </w:pPr>
      <w:r>
        <w:t>Defina os quatro papéis obrigatórios, os rituais e a RACI para cada processo operado com agente.</w:t>
      </w:r>
    </w:p>
    <w:p>
      <w:pPr>
        <w:pStyle w:val="ListBullet"/>
      </w:pPr>
      <w:r>
        <w:t>Aplique as regras de combinação de papéis conforme a faixa de risco e a materialidade interna.</w:t>
      </w:r>
    </w:p>
    <w:p>
      <w:r>
        <w:t>Duplique os blocos de registro conforme o número de iniciativas, agentes ou decisões. Preserve as instruções e regras.</w:t>
      </w:r>
    </w:p>
    <w:p>
      <w:pPr>
        <w:pStyle w:val="Heading1"/>
      </w:pPr>
      <w:r>
        <w:t>Identificação</w:t>
      </w:r>
    </w:p>
    <w:p>
      <w:pPr>
        <w:keepNext/>
      </w:pPr>
      <w:r>
        <w:rPr>
          <w:b/>
        </w:rPr>
        <w:t>Área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pelo playbook (nome e papel)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 de implantação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Papel 1: Agent Owner</w:t>
      </w:r>
    </w:p>
    <w:p>
      <w:pPr>
        <w:keepNext/>
      </w:pPr>
      <w:r>
        <w:t>Responde pelo agente em produção, monitora logs, aciona suspensão quando necessário e participa das revisões semanais e trimestrais.</w:t>
      </w:r>
    </w:p>
    <w:p>
      <w:pPr>
        <w:keepNext/>
      </w:pPr>
      <w:r>
        <w:rPr>
          <w:b/>
        </w:rPr>
        <w:t>Titular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Autoridade</w:t>
      </w:r>
    </w:p>
    <w:p>
      <w:pPr>
        <w:keepNext/>
      </w:pPr>
      <w:r>
        <w:t>Pode suspender o agente sem aprovação prévia em caso de incidente.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Ritmo de revisão</w:t>
      </w:r>
    </w:p>
    <w:p>
      <w:pPr>
        <w:keepNext/>
      </w:pPr>
      <w:r>
        <w:t>Semanal (revisão operacional) e trimestral (matriz de delegação).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Papel 2: Process Owner (com mandato ampliado)</w:t>
      </w:r>
    </w:p>
    <w:p>
      <w:pPr>
        <w:keepNext/>
      </w:pPr>
      <w:r>
        <w:t>Responde pelo processo ponta a ponta, incluindo trechos executados por agentes; redesenha o workflow quando necessário e garante o fluxo aprovado.</w:t>
      </w:r>
    </w:p>
    <w:p>
      <w:pPr>
        <w:keepNext/>
      </w:pPr>
      <w:r>
        <w:rPr>
          <w:b/>
        </w:rPr>
        <w:t>Titular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Autoridade</w:t>
      </w:r>
    </w:p>
    <w:p>
      <w:pPr>
        <w:keepNext/>
      </w:pPr>
      <w:r>
        <w:t>Define o escopo do agente no processo e aprova redesenhos.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Ritmo de revisão</w:t>
      </w:r>
    </w:p>
    <w:p>
      <w:pPr>
        <w:keepNext/>
      </w:pPr>
      <w:r>
        <w:t>Trimestral: revisão de workflow com baseline e resultado.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Papel 3: Model Risk Owner</w:t>
      </w:r>
    </w:p>
    <w:p>
      <w:pPr>
        <w:keepNext/>
      </w:pPr>
      <w:r>
        <w:t>Avalia e monitora o risco dos modelos, valida a classificação, supervisiona red-teaming e acompanha drift e degradação.</w:t>
      </w:r>
    </w:p>
    <w:p>
      <w:pPr>
        <w:keepNext/>
      </w:pPr>
      <w:r>
        <w:rPr>
          <w:b/>
        </w:rPr>
        <w:t>Titular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Autoridade</w:t>
      </w:r>
    </w:p>
    <w:p>
      <w:pPr>
        <w:keepNext/>
      </w:pPr>
      <w:r>
        <w:t>Pode exigir revalidação ou suspensão do modelo com risco acima do limiar.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Ritmo de revisão</w:t>
      </w:r>
    </w:p>
    <w:p>
      <w:pPr>
        <w:keepNext/>
      </w:pPr>
      <w:r>
        <w:t>Contínuo (monitoramento) e trimestral (report formal).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Papel 4: Incident Commander</w:t>
      </w:r>
    </w:p>
    <w:p>
      <w:pPr>
        <w:keepNext/>
      </w:pPr>
      <w:r>
        <w:t>Coordena a resposta quando um agente causa incidente em produção, atua como ponto de contato único, define ações, comunica status e conduz post-mortem.</w:t>
      </w:r>
    </w:p>
    <w:p>
      <w:pPr>
        <w:keepNext/>
      </w:pPr>
      <w:r>
        <w:rPr>
          <w:b/>
        </w:rPr>
        <w:t>Titular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Autoridade</w:t>
      </w:r>
    </w:p>
    <w:p>
      <w:pPr>
        <w:keepNext/>
      </w:pPr>
      <w:r>
        <w:t>Comanda a resposta e escala ao comitê executivo quando o incidente atinge critérios materiais.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Ritmo de revisão</w:t>
      </w:r>
    </w:p>
    <w:p>
      <w:pPr>
        <w:keepNext/>
      </w:pPr>
      <w:r>
        <w:t>Por incidente; post-mortem em 5 dias úteis.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Combinação de papéis e materialidade</w:t>
      </w:r>
    </w:p>
    <w:p>
      <w:pPr>
        <w:keepNext/>
      </w:pPr>
      <w:r>
        <w:rPr>
          <w:b/>
        </w:rPr>
        <w:t>Faixa de risco do agente</w:t>
      </w:r>
    </w:p>
    <w:p>
      <w:r>
        <w:t>Opções: Faixa 1 / Faixa 2 / Faixa 3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Cruza o limite interno de materialidade?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Limite de materialidade interna</w:t>
      </w:r>
    </w:p>
    <w:p>
      <w:pPr>
        <w:keepNext/>
      </w:pPr>
      <w:r>
        <w:t>Critério mensurável: percentual de EBITDA trimestral, exposição em R$, clientes afetados, classe de dado ou outro critério aprovado pelo comitê executivo.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Agent Owner e Incident Commander são a mesma pessoa?</w:t>
      </w:r>
    </w:p>
    <w:p>
      <w:pPr>
        <w:keepNext/>
      </w:pPr>
      <w:r>
        <w:t>Permitido somente abaixo da materialidade e em Faixa 1, com autoridade formalizada por escrito e testada trimestralmente.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Model Risk Owner e Incident Commander são a mesma pessoa?</w:t>
      </w:r>
    </w:p>
    <w:p>
      <w:pPr>
        <w:keepNext/>
      </w:pPr>
      <w:r>
        <w:t>Permitido somente abaixo da materialidade e em Faixa 1 se houver segundo Model Risk Owner técnico, designado por nome e ativado em incidentes.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Segundo Model Risk Owner técnico (nome)</w:t>
      </w:r>
    </w:p>
    <w:p>
      <w:pPr>
        <w:keepNext/>
      </w:pPr>
      <w:r>
        <w:t>Obrigatório quando Model Risk Owner e Incident Commander forem a mesma pessoa.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Gatilho de separação obrigatória acionado?</w:t>
      </w:r>
    </w:p>
    <w:p>
      <w:pPr>
        <w:keepNext/>
      </w:pPr>
      <w:r>
        <w:t>Incidente que cruza materialidade ou exige comunicação externa a cliente, regulador, imprensa ou Conselho.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Policy de combinação aprovada por (nome e papel)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 de aprovação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Próxima revisão</w:t>
      </w:r>
    </w:p>
    <w:p>
      <w:pPr>
        <w:keepNext/>
      </w:pPr>
      <w:r>
        <w:t>Mínimo anual.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Ritual 1: revisão semanal de agentes</w:t>
      </w:r>
    </w:p>
    <w:p>
      <w:pPr>
        <w:keepNext/>
      </w:pPr>
      <w:r>
        <w:t>Cadência semanal, integrada à reunião operacional existente. Participantes: Agent Owner, Process Owner e CIO/COO.</w:t>
      </w:r>
    </w:p>
    <w:p>
      <w:pPr>
        <w:keepNext/>
      </w:pPr>
      <w:r>
        <w:rPr>
          <w:b/>
        </w:rPr>
        <w:t>Taxa de erro dos agentes nesta semana (%)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Escalações: número e categorias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Comportamento inesperado</w:t>
      </w:r>
    </w:p>
    <w:p>
      <w:pPr>
        <w:keepNext/>
      </w:pPr>
      <w:r>
        <w:t>Descreva ou registre “nenhum”.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Observabilidade instalada com prazo de 14 dias?</w:t>
      </w:r>
    </w:p>
    <w:p>
      <w:pPr>
        <w:keepNext/>
      </w:pPr>
      <w:r>
        <w:t>Obrigatório se os dados não existem.</w:t>
      </w:r>
    </w:p>
    <w:p>
      <w:r>
        <w:t>Opções: Sim / Não / Não se aplica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Ritual 2: incident review</w:t>
      </w:r>
    </w:p>
    <w:p>
      <w:pPr>
        <w:keepNext/>
      </w:pPr>
      <w:r>
        <w:t>Por incidente, com post-mortem em 5 dias úteis. Participantes: Incident Commander, Agent Owner, Model Risk Owner e stakeholders afetados.</w:t>
      </w:r>
    </w:p>
    <w:p>
      <w:pPr>
        <w:keepNext/>
      </w:pPr>
      <w:r>
        <w:rPr>
          <w:b/>
        </w:rPr>
        <w:t>O que aconteceu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Impacto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Causa raiz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Ação corretiva, dono e prazo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Registro arquivado para consulta futura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Ritual 3: portfolio review e matriz de delegação</w:t>
      </w:r>
    </w:p>
    <w:p>
      <w:pPr>
        <w:keepNext/>
      </w:pPr>
      <w:r>
        <w:t>Cadência trimestral. Participantes: CEO, CFO, CIO, CHRO e Agent Owners.</w:t>
      </w:r>
    </w:p>
    <w:p>
      <w:pPr>
        <w:keepNext/>
      </w:pPr>
      <w:r>
        <w:rPr>
          <w:b/>
        </w:rPr>
        <w:t>Revisão do mapa de portfólio (Template 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Revisão da matriz de cada agente (Template 11)</w:t>
      </w:r>
    </w:p>
    <w:p>
      <w:pPr>
        <w:keepNext/>
      </w:pPr>
      <w:r>
        <w:t>Registre decisão explícita de manter, promover ou rebaixar.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Redesenho de workflow por área</w:t>
      </w:r>
    </w:p>
    <w:p>
      <w:pPr>
        <w:keepNext/>
      </w:pPr>
      <w:r>
        <w:t>Ao menos um por trimestre para cada área que opera com agentes.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RACI adaptado</w:t>
      </w:r>
    </w:p>
    <w:p>
      <w:pPr>
        <w:keepNext/>
      </w:pPr>
      <w:r>
        <w:t>Preencha para cada processo operado com agente.</w:t>
      </w:r>
    </w:p>
    <w:p>
      <w:pPr>
        <w:keepNext/>
      </w:pPr>
      <w:r>
        <w:rPr>
          <w:b/>
        </w:rPr>
        <w:t>Processo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Responsible</w:t>
      </w:r>
    </w:p>
    <w:p>
      <w:pPr>
        <w:keepNext/>
      </w:pPr>
      <w:r>
        <w:t>Agente + humano, com delimitação de cada executor.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Accountable</w:t>
      </w:r>
    </w:p>
    <w:p>
      <w:pPr>
        <w:keepNext/>
      </w:pPr>
      <w:r>
        <w:t>Sempre humano: Process Owner ou Agent Owner.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Consulted</w:t>
      </w:r>
    </w:p>
    <w:p>
      <w:pPr>
        <w:keepNext/>
      </w:pPr>
      <w:r>
        <w:t>Papéis consultados antes da ação.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Informed</w:t>
      </w:r>
    </w:p>
    <w:p>
      <w:pPr>
        <w:keepNext/>
      </w:pPr>
      <w:r>
        <w:t>Papéis notificados após a ação.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Métricas e aprovação</w:t>
      </w:r>
    </w:p>
    <w:p>
      <w:pPr>
        <w:keepNext/>
      </w:pPr>
      <w:r>
        <w:rPr>
          <w:b/>
        </w:rPr>
        <w:t>Adoção real (%)</w:t>
      </w:r>
    </w:p>
    <w:p>
      <w:pPr>
        <w:keepNext/>
      </w:pPr>
      <w:r>
        <w:t>Agentes em produção com Agent Owner nomeado e ativo, que acessa logs nos últimos 30 dias.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Qualidade</w:t>
      </w:r>
    </w:p>
    <w:p>
      <w:pPr>
        <w:keepNext/>
      </w:pPr>
      <w:r>
        <w:t>Taxa de erro semanal por agente, com tendência.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Impacto</w:t>
      </w:r>
    </w:p>
    <w:p>
      <w:pPr>
        <w:keepNext/>
      </w:pPr>
      <w:r>
        <w:t>Ao menos um workflow redesenhado por trimestre por área, com baseline e resultado medidos.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Custo unitário</w:t>
      </w:r>
    </w:p>
    <w:p>
      <w:pPr>
        <w:keepNext/>
      </w:pPr>
      <w:r>
        <w:t>Custo operacional do agente versus processo manual equivalente: R$/unidade antes e depois.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Playbook aprovado por (nome, papel, data)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Próxima revisão</w:t>
      </w:r>
    </w:p>
    <w:p>
      <w:pPr>
        <w:keepNext/>
      </w:pPr>
      <w:r>
        <w:t>Trimestral.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Regras para fechar a decisão</w:t>
      </w:r>
    </w:p>
    <w:p>
      <w:pPr>
        <w:pStyle w:val="ListBullet"/>
      </w:pPr>
      <w:r>
        <w:t>Em Faixa 2 ou 3, ou quando a exposição cruza a materialidade interna, os quatro titulares devem ser pessoas distintas.</w:t>
      </w:r>
    </w:p>
    <w:p>
      <w:pPr>
        <w:pStyle w:val="ListBullet"/>
      </w:pPr>
      <w:r>
        <w:t>Abaixo da materialidade e em Faixa 1, Agent Owner e Incident Commander podem coincidir somente com autoridade deste formalizada por escrito e testada uma vez por trimestre.</w:t>
      </w:r>
    </w:p>
    <w:p>
      <w:pPr>
        <w:pStyle w:val="ListBullet"/>
      </w:pPr>
      <w:r>
        <w:t>Abaixo da materialidade e em Faixa 1, Model Risk Owner e Incident Commander podem coincidir somente com segundo Model Risk Owner técnico designado por nome e ativado em incidentes.</w:t>
      </w:r>
    </w:p>
    <w:p>
      <w:pPr>
        <w:pStyle w:val="ListBullet"/>
      </w:pPr>
      <w:r>
        <w:t>Quando houver incidente material ou comunicação externa, o Incident Commander deve ser independente do Model Risk Owner, mesmo que seja necessário acionar alguém fora do time imediato.</w:t>
      </w:r>
    </w:p>
    <w:p>
      <w:pPr>
        <w:pStyle w:val="ListBullet"/>
      </w:pPr>
      <w:r>
        <w:t>São vedadas em qualquer faixa: Model Risk Owner com Agent Owner do mesmo agente; Process Owner com Incident Commander. A regra evita auto-investigação (Padrão OP-09, Apêndice C).</w:t>
      </w:r>
    </w:p>
    <w:p>
      <w:pPr>
        <w:pStyle w:val="ListBullet"/>
      </w:pPr>
      <w:r>
        <w:t>Se os dados da revisão semanal não existem, instalar observabilidade em até 14 dias.</w:t>
      </w:r>
    </w:p>
    <w:p>
      <w:pPr>
        <w:pStyle w:val="ListBullet"/>
      </w:pPr>
      <w:r>
        <w:t>Se o programa de treinamento completar dois trimestres sem redesenho de ao menos um workflow por área, CHRO e CIO pausam o programa e o ressubmetem ao comitê executivo com plano de redesenho.</w:t>
      </w:r>
    </w:p>
    <w:p>
      <w:pPr>
        <w:pStyle w:val="ListBullet"/>
      </w:pPr>
      <w:r>
        <w:t>Se um agente em produção ficar mais de 30 dias sem Agent Owner nomeado ou sem RACI documentado, o CIO o reclassifica como piloto e o retira de produção.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TPL-12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2421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Playbook de time híbrido</dc:title>
  <dc:subject>Capítulo 10 | Revisão 3 da editora, p. 139, 140, 141 | Digital v1.0</dc:subject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