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Seis responsabilidades de Day 0</w:t>
      </w:r>
    </w:p>
    <w:p>
      <w:r>
        <w:t>Capítulo 5 e Apêndice C | Revisão 3 da editora, p. 148, 149 | Digital v1.0</w:t>
      </w:r>
    </w:p>
    <w:p>
      <w:r>
        <w:t>Atribua responsabilidade antes de iniciar um engajamento de IA com terceiros ou entre áreas.</w:t>
      </w:r>
    </w:p>
    <w:p>
      <w:pPr>
        <w:pStyle w:val="Heading1"/>
      </w:pPr>
      <w:r>
        <w:t>Como usar</w:t>
      </w:r>
    </w:p>
    <w:p>
      <w:pPr>
        <w:pStyle w:val="ListBullet"/>
      </w:pPr>
      <w:r>
        <w:t>Preencha antes do início, inclusive em expansão de piloto e contratação de plataforma.</w:t>
      </w:r>
    </w:p>
    <w:p>
      <w:pPr>
        <w:pStyle w:val="ListBullet"/>
      </w:pPr>
      <w:r>
        <w:t>Nomeie pessoas, cargos e autoridade. A indicação de uma empresa fornecedora não substitui o responsável interno.</w:t>
      </w:r>
    </w:p>
    <w:p>
      <w:r>
        <w:t>Duplique os blocos de registro conforme o número de iniciativas, agentes ou decisões. Preserve as instruções e regras.</w:t>
      </w:r>
    </w:p>
    <w:p>
      <w:pPr>
        <w:pStyle w:val="Heading1"/>
      </w:pPr>
      <w:r>
        <w:t>1. Validação de output</w:t>
      </w:r>
    </w:p>
    <w:p>
      <w:pPr>
        <w:keepNext/>
      </w:pPr>
      <w:r>
        <w:rPr>
          <w:b/>
        </w:rPr>
        <w:t>Nome, cargo e autoridade do responsável interno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Método, frequência e critério de aprovação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da validação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2. Propriedade dos dados e artefatos</w:t>
      </w:r>
    </w:p>
    <w:p>
      <w:pPr>
        <w:keepNext/>
      </w:pPr>
      <w:r>
        <w:rPr>
          <w:b/>
        </w:rPr>
        <w:t>Nome, cargo e autoridade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Titularidade de dados, modelos ajustados, embeddings e artefatos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Cláusula contratual e portabilidade verificadas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3. Processo de incidente</w:t>
      </w:r>
    </w:p>
    <w:p>
      <w:pPr>
        <w:keepNext/>
      </w:pPr>
      <w:r>
        <w:rPr>
          <w:b/>
        </w:rPr>
        <w:t>Responsável interno e autoridade para suspender o agente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Cadeia de acionamento, tempo de resposta e escalação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Evidência de teste do processo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4. Custo de saída</w:t>
      </w:r>
    </w:p>
    <w:p>
      <w:pPr>
        <w:keepNext/>
      </w:pPr>
      <w:r>
        <w:rPr>
          <w:b/>
        </w:rPr>
        <w:t>Responsável pelo cálculo e pela validação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Custo de encerrar, extrair dados, migrar e reconstruir integrações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Premissas, contrato e evidência do cálculo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5. Trilha de auditoria</w:t>
      </w:r>
    </w:p>
    <w:p>
      <w:pPr>
        <w:keepNext/>
      </w:pPr>
      <w:r>
        <w:rPr>
          <w:b/>
        </w:rPr>
        <w:t>CIO ou equivalente e segunda linha de auditoria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Logs de entradas e saídas, aprovação, versão e testes periódicos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Localização e evidência de integridade da trilha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6. Revisão e encerramento</w:t>
      </w:r>
    </w:p>
    <w:p>
      <w:pPr>
        <w:keepNext/>
      </w:pPr>
      <w:r>
        <w:rPr>
          <w:b/>
        </w:rPr>
        <w:t>Patrocinador de negócio responsável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Critérios para continuar, expandir ou encerrar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Dados de custo, desempenho e incidentes para revisão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907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keepNext/>
      </w:pPr>
      <w:r>
        <w:rPr>
          <w:b/>
        </w:rPr>
        <w:t>Próxima revisão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38"/>
      </w:tblGrid>
      <w:tr>
        <w:trPr>
          <w:trHeight w:val="482"/>
        </w:trPr>
        <w:tc>
          <w:tcPr>
            <w:tcW w:type="dxa" w:w="9638"/>
          </w:tcPr>
          <w:p>
            <w:r/>
          </w:p>
        </w:tc>
      </w:tr>
    </w:tbl>
    <w:p>
      <w:pPr>
        <w:spacing w:after="0"/>
      </w:pPr>
    </w:p>
    <w:p>
      <w:pPr>
        <w:pStyle w:val="Heading1"/>
      </w:pPr>
      <w:r>
        <w:t>Regras para fechar a decisão</w:t>
      </w:r>
    </w:p>
    <w:p>
      <w:pPr>
        <w:pStyle w:val="ListBullet"/>
      </w:pPr>
      <w:r>
        <w:t>As seis responsabilidades devem ter pessoa, cargo e autoridade antes do início.</w:t>
      </w:r>
    </w:p>
    <w:p>
      <w:pPr>
        <w:pStyle w:val="ListBullet"/>
      </w:pPr>
      <w:r>
        <w:t>A referência do livro é revisão no mínimo trimestral, sob responsabilidade do patrocinador de negócio.</w:t>
      </w:r>
    </w:p>
    <w:p>
      <w:pPr>
        <w:pStyle w:val="ListBullet"/>
      </w:pPr>
      <w:r>
        <w:t>Registre a validação contratual com as áreas responsáveis; este instrumento organiza responsabilidades e não substitui o contrato.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 xml:space="preserve">Alexandre Pereira  |  decidirnaeradaia.com.br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DECIDIR NA ERA DA IA  /  day-0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242124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AB15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AB152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Calibri" w:hAnsi="Calibri"/>
      <w:color w:val="AB1528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Seis responsabilidades de Day 0</dc:title>
  <dc:subject>Capítulo 5 e Apêndice C | Revisão 3 da editora, p. 148, 149 | Digital v1.0</dc:subject>
  <dc:creator>Alexandre Pereira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